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9438" w14:textId="77777777" w:rsidR="00F25811" w:rsidRDefault="00F25811" w:rsidP="00F25811">
      <w:pPr>
        <w:pStyle w:val="Heading1"/>
        <w:ind w:left="2656"/>
      </w:pPr>
      <w:r>
        <w:t>A Budgetary Exercise</w:t>
      </w:r>
    </w:p>
    <w:p w14:paraId="2EEF0A0D" w14:textId="77777777" w:rsidR="00F25811" w:rsidRDefault="00F25811" w:rsidP="00F25811">
      <w:pPr>
        <w:pStyle w:val="Heading2"/>
        <w:spacing w:before="269"/>
        <w:ind w:left="120" w:right="186" w:firstLine="0"/>
      </w:pPr>
      <w:r>
        <w:t>Imagine you have $2000 each month to cover your living expenses. Items like rent, insurance and utilities are fixed every month and total $1200. Items like food, clothing, and entertainment can fluctuate depending upon your tastes and desires, but the bare minimum amount of food + clothing + entertainment (FCE) will cost you $200 each month. If you have paid all of your bills and there are additional dollars in your budget, you can save this money in the bank and earn some interest income. The interest rate fluctuates from month to month.</w:t>
      </w:r>
    </w:p>
    <w:p w14:paraId="2361692B" w14:textId="77777777" w:rsidR="00F25811" w:rsidRDefault="00F25811" w:rsidP="00F25811">
      <w:pPr>
        <w:pStyle w:val="BodyText"/>
        <w:rPr>
          <w:sz w:val="24"/>
        </w:rPr>
      </w:pPr>
    </w:p>
    <w:p w14:paraId="6B0C654B" w14:textId="77777777" w:rsidR="00F25811" w:rsidRDefault="00F25811" w:rsidP="00F25811">
      <w:pPr>
        <w:ind w:left="120" w:right="115"/>
        <w:rPr>
          <w:sz w:val="24"/>
        </w:rPr>
      </w:pPr>
      <w:r>
        <w:rPr>
          <w:sz w:val="24"/>
        </w:rPr>
        <w:t>The table below allows you to make some spending and saving choices over the next six months. You will see your income and fixed expenses are already completed for you. You must consider how much money you wish to spend on FCE (minimum of $200) and how much you wish to save.</w:t>
      </w:r>
    </w:p>
    <w:p w14:paraId="5596E3CF" w14:textId="77777777" w:rsidR="00F25811" w:rsidRDefault="00F25811" w:rsidP="00F25811">
      <w:pPr>
        <w:pStyle w:val="BodyText"/>
        <w:spacing w:before="8" w:after="1"/>
        <w:rPr>
          <w:sz w:val="24"/>
        </w:rPr>
      </w:pPr>
    </w:p>
    <w:tbl>
      <w:tblPr>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260"/>
        <w:gridCol w:w="1171"/>
        <w:gridCol w:w="1440"/>
        <w:gridCol w:w="1258"/>
        <w:gridCol w:w="1037"/>
      </w:tblGrid>
      <w:tr w:rsidR="00F25811" w14:paraId="342FE4CA" w14:textId="77777777" w:rsidTr="009841FB">
        <w:trPr>
          <w:trHeight w:val="1103"/>
        </w:trPr>
        <w:tc>
          <w:tcPr>
            <w:tcW w:w="1102" w:type="dxa"/>
          </w:tcPr>
          <w:p w14:paraId="18AE55E4" w14:textId="77777777" w:rsidR="00F25811" w:rsidRDefault="00F25811" w:rsidP="009841FB">
            <w:pPr>
              <w:pStyle w:val="TableParagraph"/>
              <w:spacing w:line="240" w:lineRule="auto"/>
              <w:rPr>
                <w:sz w:val="26"/>
              </w:rPr>
            </w:pPr>
          </w:p>
          <w:p w14:paraId="7321CF8F" w14:textId="77777777" w:rsidR="00F25811" w:rsidRDefault="00F25811" w:rsidP="009841FB">
            <w:pPr>
              <w:pStyle w:val="TableParagraph"/>
              <w:spacing w:line="240" w:lineRule="auto"/>
              <w:rPr>
                <w:sz w:val="26"/>
              </w:rPr>
            </w:pPr>
          </w:p>
          <w:p w14:paraId="7324A8F1" w14:textId="77777777" w:rsidR="00F25811" w:rsidRDefault="00F25811" w:rsidP="009841FB">
            <w:pPr>
              <w:pStyle w:val="TableParagraph"/>
              <w:spacing w:before="221" w:line="264" w:lineRule="exact"/>
              <w:ind w:left="230"/>
              <w:rPr>
                <w:sz w:val="24"/>
              </w:rPr>
            </w:pPr>
            <w:r>
              <w:rPr>
                <w:sz w:val="24"/>
              </w:rPr>
              <w:t>Month</w:t>
            </w:r>
          </w:p>
        </w:tc>
        <w:tc>
          <w:tcPr>
            <w:tcW w:w="1260" w:type="dxa"/>
          </w:tcPr>
          <w:p w14:paraId="60721977" w14:textId="77777777" w:rsidR="00F25811" w:rsidRDefault="00F25811" w:rsidP="009841FB">
            <w:pPr>
              <w:pStyle w:val="TableParagraph"/>
              <w:spacing w:line="240" w:lineRule="auto"/>
              <w:ind w:left="133" w:right="124" w:firstLine="136"/>
              <w:jc w:val="both"/>
              <w:rPr>
                <w:sz w:val="24"/>
              </w:rPr>
            </w:pPr>
            <w:r>
              <w:rPr>
                <w:sz w:val="24"/>
              </w:rPr>
              <w:t>Interest Rate on Savings</w:t>
            </w:r>
            <w:r>
              <w:rPr>
                <w:spacing w:val="-6"/>
                <w:sz w:val="24"/>
              </w:rPr>
              <w:t xml:space="preserve"> </w:t>
            </w:r>
            <w:r>
              <w:rPr>
                <w:sz w:val="24"/>
              </w:rPr>
              <w:t>at</w:t>
            </w:r>
          </w:p>
          <w:p w14:paraId="1447C413" w14:textId="77777777" w:rsidR="00F25811" w:rsidRDefault="00F25811" w:rsidP="009841FB">
            <w:pPr>
              <w:pStyle w:val="TableParagraph"/>
              <w:spacing w:line="264" w:lineRule="exact"/>
              <w:ind w:left="217"/>
              <w:jc w:val="both"/>
              <w:rPr>
                <w:sz w:val="24"/>
              </w:rPr>
            </w:pPr>
            <w:r>
              <w:rPr>
                <w:sz w:val="24"/>
              </w:rPr>
              <w:t>the bank</w:t>
            </w:r>
          </w:p>
        </w:tc>
        <w:tc>
          <w:tcPr>
            <w:tcW w:w="1171" w:type="dxa"/>
          </w:tcPr>
          <w:p w14:paraId="2039B837" w14:textId="77777777" w:rsidR="00F25811" w:rsidRDefault="00F25811" w:rsidP="009841FB">
            <w:pPr>
              <w:pStyle w:val="TableParagraph"/>
              <w:spacing w:line="240" w:lineRule="auto"/>
              <w:rPr>
                <w:sz w:val="26"/>
              </w:rPr>
            </w:pPr>
          </w:p>
          <w:p w14:paraId="615CC901" w14:textId="77777777" w:rsidR="00F25811" w:rsidRDefault="00F25811" w:rsidP="009841FB">
            <w:pPr>
              <w:pStyle w:val="TableParagraph"/>
              <w:spacing w:line="240" w:lineRule="auto"/>
              <w:rPr>
                <w:sz w:val="26"/>
              </w:rPr>
            </w:pPr>
          </w:p>
          <w:p w14:paraId="3F981FF4" w14:textId="77777777" w:rsidR="00F25811" w:rsidRDefault="00F25811" w:rsidP="009841FB">
            <w:pPr>
              <w:pStyle w:val="TableParagraph"/>
              <w:spacing w:before="221" w:line="264" w:lineRule="exact"/>
              <w:ind w:left="126"/>
              <w:rPr>
                <w:sz w:val="24"/>
              </w:rPr>
            </w:pPr>
            <w:r>
              <w:rPr>
                <w:sz w:val="24"/>
              </w:rPr>
              <w:t>Income =</w:t>
            </w:r>
          </w:p>
        </w:tc>
        <w:tc>
          <w:tcPr>
            <w:tcW w:w="1440" w:type="dxa"/>
          </w:tcPr>
          <w:p w14:paraId="4A0E9F65" w14:textId="77777777" w:rsidR="00F25811" w:rsidRDefault="00F25811" w:rsidP="009841FB">
            <w:pPr>
              <w:pStyle w:val="TableParagraph"/>
              <w:spacing w:line="240" w:lineRule="auto"/>
              <w:rPr>
                <w:sz w:val="26"/>
              </w:rPr>
            </w:pPr>
          </w:p>
          <w:p w14:paraId="2E05B1AC" w14:textId="77777777" w:rsidR="00F25811" w:rsidRDefault="00F25811" w:rsidP="009841FB">
            <w:pPr>
              <w:pStyle w:val="TableParagraph"/>
              <w:spacing w:before="3" w:line="240" w:lineRule="auto"/>
              <w:rPr>
                <w:sz w:val="21"/>
              </w:rPr>
            </w:pPr>
          </w:p>
          <w:p w14:paraId="2B7DCE01" w14:textId="77777777" w:rsidR="00F25811" w:rsidRDefault="00F25811" w:rsidP="009841FB">
            <w:pPr>
              <w:pStyle w:val="TableParagraph"/>
              <w:spacing w:line="270" w:lineRule="atLeast"/>
              <w:ind w:left="189" w:right="159" w:firstLine="256"/>
              <w:rPr>
                <w:sz w:val="24"/>
              </w:rPr>
            </w:pPr>
            <w:r>
              <w:rPr>
                <w:sz w:val="24"/>
              </w:rPr>
              <w:t>Fixed expenses +</w:t>
            </w:r>
          </w:p>
        </w:tc>
        <w:tc>
          <w:tcPr>
            <w:tcW w:w="1258" w:type="dxa"/>
          </w:tcPr>
          <w:p w14:paraId="1454D0E3" w14:textId="77777777" w:rsidR="00F25811" w:rsidRDefault="00F25811" w:rsidP="009841FB">
            <w:pPr>
              <w:pStyle w:val="TableParagraph"/>
              <w:spacing w:before="3" w:line="240" w:lineRule="auto"/>
              <w:rPr>
                <w:sz w:val="23"/>
              </w:rPr>
            </w:pPr>
          </w:p>
          <w:p w14:paraId="14DE43BF" w14:textId="77777777" w:rsidR="00F25811" w:rsidRDefault="00F25811" w:rsidP="009841FB">
            <w:pPr>
              <w:pStyle w:val="TableParagraph"/>
              <w:spacing w:line="270" w:lineRule="atLeast"/>
              <w:ind w:left="194" w:right="186" w:firstLine="21"/>
              <w:jc w:val="both"/>
              <w:rPr>
                <w:sz w:val="24"/>
              </w:rPr>
            </w:pPr>
            <w:r>
              <w:rPr>
                <w:sz w:val="24"/>
              </w:rPr>
              <w:t>Variable expenses</w:t>
            </w:r>
            <w:r>
              <w:rPr>
                <w:w w:val="99"/>
                <w:sz w:val="24"/>
              </w:rPr>
              <w:t xml:space="preserve"> </w:t>
            </w:r>
            <w:r>
              <w:rPr>
                <w:sz w:val="24"/>
              </w:rPr>
              <w:t>(FCE) +</w:t>
            </w:r>
          </w:p>
        </w:tc>
        <w:tc>
          <w:tcPr>
            <w:tcW w:w="1037" w:type="dxa"/>
          </w:tcPr>
          <w:p w14:paraId="2DD9C177" w14:textId="77777777" w:rsidR="00F25811" w:rsidRDefault="00F25811" w:rsidP="009841FB">
            <w:pPr>
              <w:pStyle w:val="TableParagraph"/>
              <w:spacing w:line="240" w:lineRule="auto"/>
              <w:rPr>
                <w:sz w:val="26"/>
              </w:rPr>
            </w:pPr>
          </w:p>
          <w:p w14:paraId="15DFCC39" w14:textId="77777777" w:rsidR="00F25811" w:rsidRDefault="00F25811" w:rsidP="009841FB">
            <w:pPr>
              <w:pStyle w:val="TableParagraph"/>
              <w:spacing w:line="240" w:lineRule="auto"/>
              <w:rPr>
                <w:sz w:val="26"/>
              </w:rPr>
            </w:pPr>
          </w:p>
          <w:p w14:paraId="45AA5FF4" w14:textId="77777777" w:rsidR="00F25811" w:rsidRDefault="00F25811" w:rsidP="009841FB">
            <w:pPr>
              <w:pStyle w:val="TableParagraph"/>
              <w:spacing w:before="221" w:line="264" w:lineRule="exact"/>
              <w:ind w:left="136"/>
              <w:rPr>
                <w:sz w:val="24"/>
              </w:rPr>
            </w:pPr>
            <w:r>
              <w:rPr>
                <w:sz w:val="24"/>
              </w:rPr>
              <w:t>Savings</w:t>
            </w:r>
          </w:p>
        </w:tc>
      </w:tr>
      <w:tr w:rsidR="00F25811" w14:paraId="59930228" w14:textId="77777777" w:rsidTr="009841FB">
        <w:trPr>
          <w:trHeight w:val="275"/>
        </w:trPr>
        <w:tc>
          <w:tcPr>
            <w:tcW w:w="1102" w:type="dxa"/>
          </w:tcPr>
          <w:p w14:paraId="2C68E85C" w14:textId="77777777" w:rsidR="00F25811" w:rsidRDefault="00F25811" w:rsidP="009841FB">
            <w:pPr>
              <w:pStyle w:val="TableParagraph"/>
              <w:ind w:left="107"/>
              <w:rPr>
                <w:sz w:val="24"/>
              </w:rPr>
            </w:pPr>
            <w:r>
              <w:rPr>
                <w:sz w:val="24"/>
              </w:rPr>
              <w:t>January</w:t>
            </w:r>
          </w:p>
        </w:tc>
        <w:tc>
          <w:tcPr>
            <w:tcW w:w="1260" w:type="dxa"/>
          </w:tcPr>
          <w:p w14:paraId="4FA6D621" w14:textId="77777777" w:rsidR="00F25811" w:rsidRDefault="00F25811" w:rsidP="009841FB">
            <w:pPr>
              <w:pStyle w:val="TableParagraph"/>
              <w:ind w:right="398"/>
              <w:jc w:val="right"/>
              <w:rPr>
                <w:sz w:val="24"/>
              </w:rPr>
            </w:pPr>
            <w:r>
              <w:rPr>
                <w:sz w:val="24"/>
              </w:rPr>
              <w:t>10%</w:t>
            </w:r>
          </w:p>
        </w:tc>
        <w:tc>
          <w:tcPr>
            <w:tcW w:w="1171" w:type="dxa"/>
          </w:tcPr>
          <w:p w14:paraId="4E719F7B" w14:textId="77777777" w:rsidR="00F25811" w:rsidRDefault="00F25811" w:rsidP="009841FB">
            <w:pPr>
              <w:pStyle w:val="TableParagraph"/>
              <w:ind w:left="107"/>
              <w:rPr>
                <w:sz w:val="24"/>
              </w:rPr>
            </w:pPr>
            <w:r>
              <w:rPr>
                <w:sz w:val="24"/>
              </w:rPr>
              <w:t>$2000 =</w:t>
            </w:r>
          </w:p>
        </w:tc>
        <w:tc>
          <w:tcPr>
            <w:tcW w:w="1440" w:type="dxa"/>
          </w:tcPr>
          <w:p w14:paraId="7800164F" w14:textId="77777777" w:rsidR="00F25811" w:rsidRDefault="00F25811" w:rsidP="009841FB">
            <w:pPr>
              <w:pStyle w:val="TableParagraph"/>
              <w:ind w:left="107"/>
              <w:rPr>
                <w:sz w:val="24"/>
              </w:rPr>
            </w:pPr>
            <w:r>
              <w:rPr>
                <w:sz w:val="24"/>
              </w:rPr>
              <w:t>$1200</w:t>
            </w:r>
          </w:p>
        </w:tc>
        <w:tc>
          <w:tcPr>
            <w:tcW w:w="1258" w:type="dxa"/>
          </w:tcPr>
          <w:p w14:paraId="3664D2BB" w14:textId="77777777" w:rsidR="00F25811" w:rsidRDefault="00F25811" w:rsidP="009841FB">
            <w:pPr>
              <w:pStyle w:val="TableParagraph"/>
              <w:spacing w:line="240" w:lineRule="auto"/>
              <w:rPr>
                <w:sz w:val="20"/>
              </w:rPr>
            </w:pPr>
          </w:p>
        </w:tc>
        <w:tc>
          <w:tcPr>
            <w:tcW w:w="1037" w:type="dxa"/>
          </w:tcPr>
          <w:p w14:paraId="54F5177D" w14:textId="77777777" w:rsidR="00F25811" w:rsidRDefault="00F25811" w:rsidP="009841FB">
            <w:pPr>
              <w:pStyle w:val="TableParagraph"/>
              <w:spacing w:line="240" w:lineRule="auto"/>
              <w:rPr>
                <w:sz w:val="20"/>
              </w:rPr>
            </w:pPr>
          </w:p>
        </w:tc>
      </w:tr>
      <w:tr w:rsidR="00F25811" w14:paraId="5B50E70F" w14:textId="77777777" w:rsidTr="009841FB">
        <w:trPr>
          <w:trHeight w:val="275"/>
        </w:trPr>
        <w:tc>
          <w:tcPr>
            <w:tcW w:w="1102" w:type="dxa"/>
          </w:tcPr>
          <w:p w14:paraId="77C69A03" w14:textId="77777777" w:rsidR="00F25811" w:rsidRDefault="00F25811" w:rsidP="009841FB">
            <w:pPr>
              <w:pStyle w:val="TableParagraph"/>
              <w:ind w:left="107"/>
              <w:rPr>
                <w:sz w:val="24"/>
              </w:rPr>
            </w:pPr>
            <w:r>
              <w:rPr>
                <w:sz w:val="24"/>
              </w:rPr>
              <w:t>February</w:t>
            </w:r>
          </w:p>
        </w:tc>
        <w:tc>
          <w:tcPr>
            <w:tcW w:w="1260" w:type="dxa"/>
          </w:tcPr>
          <w:p w14:paraId="190F4AFF" w14:textId="77777777" w:rsidR="00F25811" w:rsidRDefault="00F25811" w:rsidP="009841FB">
            <w:pPr>
              <w:pStyle w:val="TableParagraph"/>
              <w:ind w:right="458"/>
              <w:jc w:val="right"/>
              <w:rPr>
                <w:sz w:val="24"/>
              </w:rPr>
            </w:pPr>
            <w:r>
              <w:rPr>
                <w:sz w:val="24"/>
              </w:rPr>
              <w:t>6%</w:t>
            </w:r>
          </w:p>
        </w:tc>
        <w:tc>
          <w:tcPr>
            <w:tcW w:w="1171" w:type="dxa"/>
          </w:tcPr>
          <w:p w14:paraId="7ABCCD4F" w14:textId="77777777" w:rsidR="00F25811" w:rsidRDefault="00F25811" w:rsidP="009841FB">
            <w:pPr>
              <w:pStyle w:val="TableParagraph"/>
              <w:ind w:left="107"/>
              <w:rPr>
                <w:sz w:val="24"/>
              </w:rPr>
            </w:pPr>
            <w:r>
              <w:rPr>
                <w:sz w:val="24"/>
              </w:rPr>
              <w:t>$2000 =</w:t>
            </w:r>
          </w:p>
        </w:tc>
        <w:tc>
          <w:tcPr>
            <w:tcW w:w="1440" w:type="dxa"/>
          </w:tcPr>
          <w:p w14:paraId="381D4423" w14:textId="77777777" w:rsidR="00F25811" w:rsidRDefault="00F25811" w:rsidP="009841FB">
            <w:pPr>
              <w:pStyle w:val="TableParagraph"/>
              <w:ind w:left="107"/>
              <w:rPr>
                <w:sz w:val="24"/>
              </w:rPr>
            </w:pPr>
            <w:r>
              <w:rPr>
                <w:sz w:val="24"/>
              </w:rPr>
              <w:t>$1200</w:t>
            </w:r>
          </w:p>
        </w:tc>
        <w:tc>
          <w:tcPr>
            <w:tcW w:w="1258" w:type="dxa"/>
          </w:tcPr>
          <w:p w14:paraId="55CBD70B" w14:textId="77777777" w:rsidR="00F25811" w:rsidRDefault="00F25811" w:rsidP="009841FB">
            <w:pPr>
              <w:pStyle w:val="TableParagraph"/>
              <w:spacing w:line="240" w:lineRule="auto"/>
              <w:rPr>
                <w:sz w:val="20"/>
              </w:rPr>
            </w:pPr>
          </w:p>
        </w:tc>
        <w:tc>
          <w:tcPr>
            <w:tcW w:w="1037" w:type="dxa"/>
          </w:tcPr>
          <w:p w14:paraId="0805A328" w14:textId="77777777" w:rsidR="00F25811" w:rsidRDefault="00F25811" w:rsidP="009841FB">
            <w:pPr>
              <w:pStyle w:val="TableParagraph"/>
              <w:spacing w:line="240" w:lineRule="auto"/>
              <w:rPr>
                <w:sz w:val="20"/>
              </w:rPr>
            </w:pPr>
          </w:p>
        </w:tc>
      </w:tr>
      <w:tr w:rsidR="00F25811" w14:paraId="097BF8FA" w14:textId="77777777" w:rsidTr="009841FB">
        <w:trPr>
          <w:trHeight w:val="278"/>
        </w:trPr>
        <w:tc>
          <w:tcPr>
            <w:tcW w:w="1102" w:type="dxa"/>
          </w:tcPr>
          <w:p w14:paraId="49BD06C3" w14:textId="77777777" w:rsidR="00F25811" w:rsidRDefault="00F25811" w:rsidP="009841FB">
            <w:pPr>
              <w:pStyle w:val="TableParagraph"/>
              <w:spacing w:line="258" w:lineRule="exact"/>
              <w:ind w:left="107"/>
              <w:rPr>
                <w:sz w:val="24"/>
              </w:rPr>
            </w:pPr>
            <w:r>
              <w:rPr>
                <w:sz w:val="24"/>
              </w:rPr>
              <w:t>March</w:t>
            </w:r>
          </w:p>
        </w:tc>
        <w:tc>
          <w:tcPr>
            <w:tcW w:w="1260" w:type="dxa"/>
          </w:tcPr>
          <w:p w14:paraId="73B93849" w14:textId="77777777" w:rsidR="00F25811" w:rsidRDefault="00F25811" w:rsidP="009841FB">
            <w:pPr>
              <w:pStyle w:val="TableParagraph"/>
              <w:spacing w:line="258" w:lineRule="exact"/>
              <w:ind w:right="458"/>
              <w:jc w:val="right"/>
              <w:rPr>
                <w:sz w:val="24"/>
              </w:rPr>
            </w:pPr>
            <w:r>
              <w:rPr>
                <w:sz w:val="24"/>
              </w:rPr>
              <w:t>2%</w:t>
            </w:r>
          </w:p>
        </w:tc>
        <w:tc>
          <w:tcPr>
            <w:tcW w:w="1171" w:type="dxa"/>
          </w:tcPr>
          <w:p w14:paraId="23B1335F" w14:textId="77777777" w:rsidR="00F25811" w:rsidRDefault="00F25811" w:rsidP="009841FB">
            <w:pPr>
              <w:pStyle w:val="TableParagraph"/>
              <w:spacing w:line="258" w:lineRule="exact"/>
              <w:ind w:left="107"/>
              <w:rPr>
                <w:sz w:val="24"/>
              </w:rPr>
            </w:pPr>
            <w:r>
              <w:rPr>
                <w:sz w:val="24"/>
              </w:rPr>
              <w:t>$2000 =</w:t>
            </w:r>
          </w:p>
        </w:tc>
        <w:tc>
          <w:tcPr>
            <w:tcW w:w="1440" w:type="dxa"/>
          </w:tcPr>
          <w:p w14:paraId="600C77E3" w14:textId="77777777" w:rsidR="00F25811" w:rsidRDefault="00F25811" w:rsidP="009841FB">
            <w:pPr>
              <w:pStyle w:val="TableParagraph"/>
              <w:spacing w:line="258" w:lineRule="exact"/>
              <w:ind w:left="107"/>
              <w:rPr>
                <w:sz w:val="24"/>
              </w:rPr>
            </w:pPr>
            <w:r>
              <w:rPr>
                <w:sz w:val="24"/>
              </w:rPr>
              <w:t>$1200</w:t>
            </w:r>
          </w:p>
        </w:tc>
        <w:tc>
          <w:tcPr>
            <w:tcW w:w="1258" w:type="dxa"/>
          </w:tcPr>
          <w:p w14:paraId="59601807" w14:textId="77777777" w:rsidR="00F25811" w:rsidRDefault="00F25811" w:rsidP="009841FB">
            <w:pPr>
              <w:pStyle w:val="TableParagraph"/>
              <w:spacing w:line="240" w:lineRule="auto"/>
              <w:rPr>
                <w:sz w:val="20"/>
              </w:rPr>
            </w:pPr>
          </w:p>
        </w:tc>
        <w:tc>
          <w:tcPr>
            <w:tcW w:w="1037" w:type="dxa"/>
          </w:tcPr>
          <w:p w14:paraId="5686B935" w14:textId="77777777" w:rsidR="00F25811" w:rsidRDefault="00F25811" w:rsidP="009841FB">
            <w:pPr>
              <w:pStyle w:val="TableParagraph"/>
              <w:spacing w:line="240" w:lineRule="auto"/>
              <w:rPr>
                <w:sz w:val="20"/>
              </w:rPr>
            </w:pPr>
          </w:p>
        </w:tc>
      </w:tr>
      <w:tr w:rsidR="00F25811" w14:paraId="7EE06A9E" w14:textId="77777777" w:rsidTr="009841FB">
        <w:trPr>
          <w:trHeight w:val="275"/>
        </w:trPr>
        <w:tc>
          <w:tcPr>
            <w:tcW w:w="1102" w:type="dxa"/>
          </w:tcPr>
          <w:p w14:paraId="740B56AC" w14:textId="77777777" w:rsidR="00F25811" w:rsidRDefault="00F25811" w:rsidP="009841FB">
            <w:pPr>
              <w:pStyle w:val="TableParagraph"/>
              <w:ind w:left="107"/>
              <w:rPr>
                <w:sz w:val="24"/>
              </w:rPr>
            </w:pPr>
            <w:r>
              <w:rPr>
                <w:sz w:val="24"/>
              </w:rPr>
              <w:t>April</w:t>
            </w:r>
          </w:p>
        </w:tc>
        <w:tc>
          <w:tcPr>
            <w:tcW w:w="1260" w:type="dxa"/>
          </w:tcPr>
          <w:p w14:paraId="72090C1A" w14:textId="77777777" w:rsidR="00F25811" w:rsidRDefault="00F25811" w:rsidP="009841FB">
            <w:pPr>
              <w:pStyle w:val="TableParagraph"/>
              <w:ind w:right="398"/>
              <w:jc w:val="right"/>
              <w:rPr>
                <w:sz w:val="24"/>
              </w:rPr>
            </w:pPr>
            <w:r>
              <w:rPr>
                <w:sz w:val="24"/>
              </w:rPr>
              <w:t>20%</w:t>
            </w:r>
          </w:p>
        </w:tc>
        <w:tc>
          <w:tcPr>
            <w:tcW w:w="1171" w:type="dxa"/>
          </w:tcPr>
          <w:p w14:paraId="602238F4" w14:textId="77777777" w:rsidR="00F25811" w:rsidRDefault="00F25811" w:rsidP="009841FB">
            <w:pPr>
              <w:pStyle w:val="TableParagraph"/>
              <w:ind w:left="107"/>
              <w:rPr>
                <w:sz w:val="24"/>
              </w:rPr>
            </w:pPr>
            <w:r>
              <w:rPr>
                <w:sz w:val="24"/>
              </w:rPr>
              <w:t>$2000 =</w:t>
            </w:r>
          </w:p>
        </w:tc>
        <w:tc>
          <w:tcPr>
            <w:tcW w:w="1440" w:type="dxa"/>
          </w:tcPr>
          <w:p w14:paraId="1BEFDE0E" w14:textId="77777777" w:rsidR="00F25811" w:rsidRDefault="00F25811" w:rsidP="009841FB">
            <w:pPr>
              <w:pStyle w:val="TableParagraph"/>
              <w:ind w:left="107"/>
              <w:rPr>
                <w:sz w:val="24"/>
              </w:rPr>
            </w:pPr>
            <w:r>
              <w:rPr>
                <w:sz w:val="24"/>
              </w:rPr>
              <w:t>$1200</w:t>
            </w:r>
          </w:p>
        </w:tc>
        <w:tc>
          <w:tcPr>
            <w:tcW w:w="1258" w:type="dxa"/>
          </w:tcPr>
          <w:p w14:paraId="5C268AC3" w14:textId="77777777" w:rsidR="00F25811" w:rsidRDefault="00F25811" w:rsidP="009841FB">
            <w:pPr>
              <w:pStyle w:val="TableParagraph"/>
              <w:spacing w:line="240" w:lineRule="auto"/>
              <w:rPr>
                <w:sz w:val="20"/>
              </w:rPr>
            </w:pPr>
          </w:p>
        </w:tc>
        <w:tc>
          <w:tcPr>
            <w:tcW w:w="1037" w:type="dxa"/>
          </w:tcPr>
          <w:p w14:paraId="4DA64636" w14:textId="77777777" w:rsidR="00F25811" w:rsidRDefault="00F25811" w:rsidP="009841FB">
            <w:pPr>
              <w:pStyle w:val="TableParagraph"/>
              <w:spacing w:line="240" w:lineRule="auto"/>
              <w:rPr>
                <w:sz w:val="20"/>
              </w:rPr>
            </w:pPr>
          </w:p>
        </w:tc>
      </w:tr>
      <w:tr w:rsidR="00F25811" w14:paraId="645733B3" w14:textId="77777777" w:rsidTr="009841FB">
        <w:trPr>
          <w:trHeight w:val="275"/>
        </w:trPr>
        <w:tc>
          <w:tcPr>
            <w:tcW w:w="1102" w:type="dxa"/>
          </w:tcPr>
          <w:p w14:paraId="026729E9" w14:textId="77777777" w:rsidR="00F25811" w:rsidRDefault="00F25811" w:rsidP="009841FB">
            <w:pPr>
              <w:pStyle w:val="TableParagraph"/>
              <w:ind w:left="107"/>
              <w:rPr>
                <w:sz w:val="24"/>
              </w:rPr>
            </w:pPr>
            <w:r>
              <w:rPr>
                <w:sz w:val="24"/>
              </w:rPr>
              <w:t>May</w:t>
            </w:r>
          </w:p>
        </w:tc>
        <w:tc>
          <w:tcPr>
            <w:tcW w:w="1260" w:type="dxa"/>
          </w:tcPr>
          <w:p w14:paraId="4ABF8285" w14:textId="77777777" w:rsidR="00F25811" w:rsidRDefault="00F25811" w:rsidP="009841FB">
            <w:pPr>
              <w:pStyle w:val="TableParagraph"/>
              <w:ind w:right="398"/>
              <w:jc w:val="right"/>
              <w:rPr>
                <w:sz w:val="24"/>
              </w:rPr>
            </w:pPr>
            <w:r>
              <w:rPr>
                <w:sz w:val="24"/>
              </w:rPr>
              <w:t>15%</w:t>
            </w:r>
          </w:p>
        </w:tc>
        <w:tc>
          <w:tcPr>
            <w:tcW w:w="1171" w:type="dxa"/>
          </w:tcPr>
          <w:p w14:paraId="2FFF0EF9" w14:textId="77777777" w:rsidR="00F25811" w:rsidRDefault="00F25811" w:rsidP="009841FB">
            <w:pPr>
              <w:pStyle w:val="TableParagraph"/>
              <w:ind w:left="107"/>
              <w:rPr>
                <w:sz w:val="24"/>
              </w:rPr>
            </w:pPr>
            <w:r>
              <w:rPr>
                <w:sz w:val="24"/>
              </w:rPr>
              <w:t>$2000 =</w:t>
            </w:r>
          </w:p>
        </w:tc>
        <w:tc>
          <w:tcPr>
            <w:tcW w:w="1440" w:type="dxa"/>
          </w:tcPr>
          <w:p w14:paraId="66EE2B17" w14:textId="77777777" w:rsidR="00F25811" w:rsidRDefault="00F25811" w:rsidP="009841FB">
            <w:pPr>
              <w:pStyle w:val="TableParagraph"/>
              <w:ind w:left="107"/>
              <w:rPr>
                <w:sz w:val="24"/>
              </w:rPr>
            </w:pPr>
            <w:r>
              <w:rPr>
                <w:sz w:val="24"/>
              </w:rPr>
              <w:t>$1200</w:t>
            </w:r>
          </w:p>
        </w:tc>
        <w:tc>
          <w:tcPr>
            <w:tcW w:w="1258" w:type="dxa"/>
          </w:tcPr>
          <w:p w14:paraId="59F7F9E1" w14:textId="77777777" w:rsidR="00F25811" w:rsidRDefault="00F25811" w:rsidP="009841FB">
            <w:pPr>
              <w:pStyle w:val="TableParagraph"/>
              <w:spacing w:line="240" w:lineRule="auto"/>
              <w:rPr>
                <w:sz w:val="20"/>
              </w:rPr>
            </w:pPr>
          </w:p>
        </w:tc>
        <w:tc>
          <w:tcPr>
            <w:tcW w:w="1037" w:type="dxa"/>
          </w:tcPr>
          <w:p w14:paraId="193A157E" w14:textId="77777777" w:rsidR="00F25811" w:rsidRDefault="00F25811" w:rsidP="009841FB">
            <w:pPr>
              <w:pStyle w:val="TableParagraph"/>
              <w:spacing w:line="240" w:lineRule="auto"/>
              <w:rPr>
                <w:sz w:val="20"/>
              </w:rPr>
            </w:pPr>
          </w:p>
        </w:tc>
      </w:tr>
      <w:tr w:rsidR="00F25811" w14:paraId="5ABB169F" w14:textId="77777777" w:rsidTr="009841FB">
        <w:trPr>
          <w:trHeight w:val="275"/>
        </w:trPr>
        <w:tc>
          <w:tcPr>
            <w:tcW w:w="1102" w:type="dxa"/>
          </w:tcPr>
          <w:p w14:paraId="00674B53" w14:textId="77777777" w:rsidR="00F25811" w:rsidRDefault="00F25811" w:rsidP="009841FB">
            <w:pPr>
              <w:pStyle w:val="TableParagraph"/>
              <w:ind w:left="107"/>
              <w:rPr>
                <w:sz w:val="24"/>
              </w:rPr>
            </w:pPr>
            <w:r>
              <w:rPr>
                <w:sz w:val="24"/>
              </w:rPr>
              <w:t>June</w:t>
            </w:r>
          </w:p>
        </w:tc>
        <w:tc>
          <w:tcPr>
            <w:tcW w:w="1260" w:type="dxa"/>
          </w:tcPr>
          <w:p w14:paraId="15C154D8" w14:textId="77777777" w:rsidR="00F25811" w:rsidRDefault="00F25811" w:rsidP="009841FB">
            <w:pPr>
              <w:pStyle w:val="TableParagraph"/>
              <w:ind w:right="369"/>
              <w:jc w:val="right"/>
              <w:rPr>
                <w:sz w:val="24"/>
              </w:rPr>
            </w:pPr>
            <w:r>
              <w:rPr>
                <w:sz w:val="24"/>
              </w:rPr>
              <w:t>0.5%</w:t>
            </w:r>
          </w:p>
        </w:tc>
        <w:tc>
          <w:tcPr>
            <w:tcW w:w="1171" w:type="dxa"/>
          </w:tcPr>
          <w:p w14:paraId="34E0A3F5" w14:textId="77777777" w:rsidR="00F25811" w:rsidRDefault="00F25811" w:rsidP="009841FB">
            <w:pPr>
              <w:pStyle w:val="TableParagraph"/>
              <w:ind w:left="107"/>
              <w:rPr>
                <w:sz w:val="24"/>
              </w:rPr>
            </w:pPr>
            <w:r>
              <w:rPr>
                <w:sz w:val="24"/>
              </w:rPr>
              <w:t>$2000 =</w:t>
            </w:r>
          </w:p>
        </w:tc>
        <w:tc>
          <w:tcPr>
            <w:tcW w:w="1440" w:type="dxa"/>
          </w:tcPr>
          <w:p w14:paraId="28FECCC5" w14:textId="77777777" w:rsidR="00F25811" w:rsidRDefault="00F25811" w:rsidP="009841FB">
            <w:pPr>
              <w:pStyle w:val="TableParagraph"/>
              <w:ind w:left="107"/>
              <w:rPr>
                <w:sz w:val="24"/>
              </w:rPr>
            </w:pPr>
            <w:r>
              <w:rPr>
                <w:sz w:val="24"/>
              </w:rPr>
              <w:t>$1200</w:t>
            </w:r>
          </w:p>
        </w:tc>
        <w:tc>
          <w:tcPr>
            <w:tcW w:w="1258" w:type="dxa"/>
          </w:tcPr>
          <w:p w14:paraId="52027AA8" w14:textId="77777777" w:rsidR="00F25811" w:rsidRDefault="00F25811" w:rsidP="009841FB">
            <w:pPr>
              <w:pStyle w:val="TableParagraph"/>
              <w:spacing w:line="240" w:lineRule="auto"/>
              <w:rPr>
                <w:sz w:val="20"/>
              </w:rPr>
            </w:pPr>
          </w:p>
        </w:tc>
        <w:tc>
          <w:tcPr>
            <w:tcW w:w="1037" w:type="dxa"/>
          </w:tcPr>
          <w:p w14:paraId="442857BF" w14:textId="77777777" w:rsidR="00F25811" w:rsidRDefault="00F25811" w:rsidP="009841FB">
            <w:pPr>
              <w:pStyle w:val="TableParagraph"/>
              <w:spacing w:line="240" w:lineRule="auto"/>
              <w:rPr>
                <w:sz w:val="20"/>
              </w:rPr>
            </w:pPr>
          </w:p>
        </w:tc>
      </w:tr>
    </w:tbl>
    <w:p w14:paraId="565FC29A" w14:textId="77777777" w:rsidR="00F25811" w:rsidRDefault="00F25811" w:rsidP="00F25811">
      <w:pPr>
        <w:pStyle w:val="BodyText"/>
        <w:spacing w:before="3"/>
        <w:rPr>
          <w:sz w:val="23"/>
        </w:rPr>
      </w:pPr>
    </w:p>
    <w:p w14:paraId="32B97CEA" w14:textId="77777777" w:rsidR="00F25811" w:rsidRDefault="00F25811" w:rsidP="00F25811">
      <w:pPr>
        <w:ind w:left="120" w:right="186"/>
        <w:rPr>
          <w:sz w:val="24"/>
        </w:rPr>
      </w:pPr>
      <w:r>
        <w:rPr>
          <w:sz w:val="24"/>
        </w:rPr>
        <w:t>Now that you have completed the table, create a graph that puts the interest rate on the vertical axis and the amount of money you would spend on FCE on the horizontal axis. Plot the six points and describe any trends you might see. What do you suppose explains why the graph turned out the way it did?</w:t>
      </w:r>
    </w:p>
    <w:p w14:paraId="10F9F73A" w14:textId="77777777" w:rsidR="00F25811" w:rsidRDefault="00F25811" w:rsidP="00F25811">
      <w:pPr>
        <w:pStyle w:val="BodyText"/>
        <w:rPr>
          <w:sz w:val="20"/>
        </w:rPr>
      </w:pPr>
    </w:p>
    <w:p w14:paraId="608E13DB" w14:textId="77777777" w:rsidR="00F25811" w:rsidRDefault="00F25811" w:rsidP="00F25811">
      <w:pPr>
        <w:pStyle w:val="BodyText"/>
        <w:spacing w:before="2"/>
        <w:rPr>
          <w:sz w:val="11"/>
        </w:rPr>
      </w:pPr>
      <w:r>
        <w:rPr>
          <w:noProof/>
        </w:rPr>
        <w:drawing>
          <wp:anchor distT="0" distB="0" distL="0" distR="0" simplePos="0" relativeHeight="251659264" behindDoc="0" locked="0" layoutInCell="1" allowOverlap="1" wp14:anchorId="0C00ABD8" wp14:editId="10CD28C8">
            <wp:simplePos x="0" y="0"/>
            <wp:positionH relativeFrom="page">
              <wp:posOffset>1761789</wp:posOffset>
            </wp:positionH>
            <wp:positionV relativeFrom="paragraph">
              <wp:posOffset>106613</wp:posOffset>
            </wp:positionV>
            <wp:extent cx="3078277" cy="217227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078277" cy="2172271"/>
                    </a:xfrm>
                    <a:prstGeom prst="rect">
                      <a:avLst/>
                    </a:prstGeom>
                  </pic:spPr>
                </pic:pic>
              </a:graphicData>
            </a:graphic>
          </wp:anchor>
        </w:drawing>
      </w:r>
    </w:p>
    <w:p w14:paraId="459CA3B5" w14:textId="77777777" w:rsidR="00564A5E" w:rsidRDefault="00564A5E">
      <w:bookmarkStart w:id="0" w:name="_GoBack"/>
      <w:bookmarkEnd w:id="0"/>
    </w:p>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11"/>
    <w:rsid w:val="00564A5E"/>
    <w:rsid w:val="009E1324"/>
    <w:rsid w:val="00F2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8ECC"/>
  <w15:chartTrackingRefBased/>
  <w15:docId w15:val="{7210FB85-B235-3844-881A-35EE753B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811"/>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F25811"/>
    <w:pPr>
      <w:spacing w:before="258"/>
      <w:ind w:left="3566"/>
      <w:outlineLvl w:val="0"/>
    </w:pPr>
    <w:rPr>
      <w:b/>
      <w:bCs/>
      <w:sz w:val="28"/>
      <w:szCs w:val="28"/>
    </w:rPr>
  </w:style>
  <w:style w:type="paragraph" w:styleId="Heading2">
    <w:name w:val="heading 2"/>
    <w:basedOn w:val="Normal"/>
    <w:link w:val="Heading2Char"/>
    <w:uiPriority w:val="9"/>
    <w:unhideWhenUsed/>
    <w:qFormat/>
    <w:rsid w:val="00F25811"/>
    <w:pPr>
      <w:ind w:left="84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81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F25811"/>
    <w:rPr>
      <w:rFonts w:ascii="Times New Roman" w:eastAsia="Times New Roman" w:hAnsi="Times New Roman" w:cs="Times New Roman"/>
    </w:rPr>
  </w:style>
  <w:style w:type="paragraph" w:styleId="BodyText">
    <w:name w:val="Body Text"/>
    <w:basedOn w:val="Normal"/>
    <w:link w:val="BodyTextChar"/>
    <w:uiPriority w:val="1"/>
    <w:qFormat/>
    <w:rsid w:val="00F25811"/>
  </w:style>
  <w:style w:type="character" w:customStyle="1" w:styleId="BodyTextChar">
    <w:name w:val="Body Text Char"/>
    <w:basedOn w:val="DefaultParagraphFont"/>
    <w:link w:val="BodyText"/>
    <w:uiPriority w:val="1"/>
    <w:rsid w:val="00F25811"/>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F25811"/>
    <w:pPr>
      <w:spacing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2019-07-22T14:32:00Z</dcterms:created>
  <dcterms:modified xsi:type="dcterms:W3CDTF">2019-07-22T14:32:00Z</dcterms:modified>
</cp:coreProperties>
</file>