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Legitimacy of the State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Directions: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the </w:t>
      </w:r>
      <w:r w:rsidDel="00000000" w:rsidR="00000000" w:rsidRPr="00000000">
        <w:rPr>
          <w:rtl w:val="0"/>
        </w:rPr>
        <w:t xml:space="preserve">article “Legitimacy and Stability of North Korea” from the Korea Economic Institute of America, and explain how North Korea has legitimized their rule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Connect to Weber’s forms of legitimacy).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http://keia.org/sites/default/files/publications/kei_aps_wang_son-taek_11-17-15.pdf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keia.org/sites/default/files/publications/kei_aps_wang_son-taek_11-17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